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UGC 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 COURSE CURRICULUM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AND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SYLLABI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(As per UGC’s Draft Model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SCHEME)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000000"/>
          <w:sz w:val="68"/>
          <w:szCs w:val="68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UGC’s Draft Model 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HEME)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(AUTONOMOUS)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SYLLABUS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FOR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UNDER GRADUATE (UG)</w:t>
      </w:r>
      <w:r w:rsidR="00E439A6">
        <w:rPr>
          <w:rFonts w:ascii="TimesNewRomanPSMT" w:hAnsi="TimesNewRomanPSMT" w:cs="TimesNewRomanPSMT"/>
          <w:sz w:val="45"/>
          <w:szCs w:val="45"/>
        </w:rPr>
        <w:t xml:space="preserve"> </w:t>
      </w:r>
      <w:r>
        <w:rPr>
          <w:rFonts w:ascii="TimesNewRomanPSMT" w:hAnsi="TimesNewRomanPSMT" w:cs="TimesNewRomanPSMT"/>
          <w:sz w:val="45"/>
          <w:szCs w:val="45"/>
        </w:rPr>
        <w:t>COURSE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8"/>
          <w:szCs w:val="38"/>
        </w:rPr>
      </w:pPr>
      <w:r>
        <w:rPr>
          <w:rFonts w:ascii="TimesNewRomanPSMT" w:hAnsi="TimesNewRomanPSMT" w:cs="TimesNewRomanPSMT"/>
          <w:sz w:val="38"/>
          <w:szCs w:val="38"/>
        </w:rPr>
        <w:t>(</w:t>
      </w:r>
      <w:r w:rsidR="00591C82">
        <w:rPr>
          <w:rFonts w:ascii="TimesNewRomanPSMT" w:hAnsi="TimesNewRomanPSMT" w:cs="TimesNewRomanPSMT"/>
          <w:sz w:val="38"/>
          <w:szCs w:val="38"/>
        </w:rPr>
        <w:t>GENERIC ELECTIVE</w:t>
      </w:r>
      <w:r>
        <w:rPr>
          <w:rFonts w:ascii="TimesNewRomanPSMT" w:hAnsi="TimesNewRomanPSMT" w:cs="TimesNewRomanPSMT"/>
          <w:sz w:val="38"/>
          <w:szCs w:val="38"/>
        </w:rPr>
        <w:t>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UND ER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CHOICE BASED CREDIT SYSTEM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2019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UG - SY 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CHEMISTRY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(</w:t>
      </w:r>
      <w:r w:rsidR="00591C82">
        <w:rPr>
          <w:rFonts w:ascii="Times New Roman" w:hAnsi="Times New Roman" w:cs="Times New Roman"/>
          <w:b/>
          <w:bCs/>
          <w:sz w:val="53"/>
          <w:szCs w:val="53"/>
        </w:rPr>
        <w:t>GENERIC ELECTIVE</w:t>
      </w:r>
      <w:r>
        <w:rPr>
          <w:rFonts w:ascii="Times New Roman" w:hAnsi="Times New Roman" w:cs="Times New Roman"/>
          <w:b/>
          <w:bCs/>
          <w:sz w:val="53"/>
          <w:szCs w:val="53"/>
        </w:rPr>
        <w:t>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(1st Semester)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CHE-GE-T4-101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Atomic Structure, Bonding,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General Organic Chemistry and Aliphatic Hydrocarbons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04)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Marks = 70 [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Semester Exam (56) Internal Assessment (14)]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A:- 28 Marks and Section B:- 28 Marks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Inorganic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I: Atomic Structure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Review of: Bohr’s theory and its limitations, dual behaviour of matter and radiation, de-Broglie’s relation, Heisenberg Uncertainty principle. Hydrogen atom spectra. Need of a new approach to Atomic structure. 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What is Quantum mechanics? Time independent Schrodinger equation and meaning of various terms in it. Significance of </w:t>
      </w:r>
      <w:r>
        <w:rPr>
          <w:rFonts w:ascii="Times New Roman" w:hAnsi="Times New Roman" w:cs="Times New Roman"/>
          <w:color w:val="000000"/>
          <w:sz w:val="24"/>
          <w:szCs w:val="24"/>
        </w:rPr>
        <w:t>Ψ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 xml:space="preserve">and </w:t>
      </w:r>
      <w:r w:rsidR="00610044">
        <w:rPr>
          <w:rFonts w:ascii="Times New Roman" w:hAnsi="Times New Roman" w:cs="Times New Roman"/>
          <w:color w:val="000000"/>
          <w:sz w:val="24"/>
          <w:szCs w:val="24"/>
        </w:rPr>
        <w:t>Ψ</w:t>
      </w:r>
      <w:r w:rsidR="00610044">
        <w:rPr>
          <w:rFonts w:ascii="TimesNewRomanPSMT" w:eastAsia="SymbolMT" w:hAnsi="TimesNewRomanPSMT" w:cs="TimesNewRomanPSMT"/>
          <w:sz w:val="16"/>
          <w:szCs w:val="16"/>
        </w:rPr>
        <w:t xml:space="preserve"> </w:t>
      </w:r>
      <w:r w:rsidRPr="00610044">
        <w:rPr>
          <w:rFonts w:ascii="TimesNewRomanPSMT" w:eastAsia="SymbolMT" w:hAnsi="TimesNewRomanPSMT" w:cs="TimesNewRomanPSMT"/>
          <w:sz w:val="16"/>
          <w:szCs w:val="16"/>
          <w:vertAlign w:val="superscript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Schrödinger equation for hydrogen atom. Radial and angular parts of the hydogenic wave functions (atomic orbitals) and their variations for 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orbitals (Only graphical representation). Radial and angular nodes and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their significance. Radial distribution functions and the concept of the most probable distance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special reference to 1s and 2s atomic orbitals. Significance of quantum numbers, orbital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angular momentum and quantum numbers 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l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Shapes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atomic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orbitals, nodal planes. Discovery of spin, spin quantum number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and magnetic spin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quantum number (m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Rules for filling electrons in various orbitals, Electronic configurations of the atoms. Stability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half-filled and completely filled orbitals, concept of exchange energy. Relative energies of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atomic orbitals, Anomalous electronic configurations.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Lectures, Marks - 13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 Chemical Bonding and Molecular Structure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Ionic Bonding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: General characteristics of ionic bonding. Energy considerations in ionic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bonding, lattice energy and solvation energy and their importance in the context of stability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solubility of ionic compounds. Statement of Born-Landé equation for calculation of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lattice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energy, Born-Haber cycle and its applications, polarizing power and polarizability. Fajan’s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rules, ionic character in covalent compounds, bond moment, dipole moment and percentage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ionic character.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Covalent bonding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: VB Approach: Shapes of some inorganic molecules and ions on the basis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VSEPR and hybridization with suitable examples of linear, trigonal planar, square planar,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tetrahedral, trigonal bipyramidal and octahedral arrangements.Concept of resonance and resonating structures in various inorganic and organic compounds.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 Approach</w:t>
      </w:r>
      <w:r>
        <w:rPr>
          <w:rFonts w:ascii="TimesNewRomanPSMT" w:hAnsi="TimesNewRomanPSMT" w:cs="TimesNewRomanPSMT"/>
          <w:color w:val="000000"/>
          <w:sz w:val="24"/>
          <w:szCs w:val="24"/>
        </w:rPr>
        <w:t>: Rules for the LCAO method, bonding and antibonding MOs and their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characteristics for s-s, s-p and p-p combinations of atomic orbitals, nonbonding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combination of orbitals, MO treatment of homonuclear diatomic molecules of 1st and 2</w:t>
      </w:r>
      <w:r w:rsidRPr="00690407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nd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periods (including idea of s-p mixing) and heteronuclear diatomic molecules such as CO, NO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NO</w:t>
      </w:r>
      <w:r>
        <w:rPr>
          <w:rFonts w:ascii="TimesNewRomanPSMT" w:hAnsi="TimesNewRomanPSMT" w:cs="TimesNewRomanPSMT"/>
          <w:color w:val="000000"/>
          <w:sz w:val="16"/>
          <w:szCs w:val="16"/>
        </w:rPr>
        <w:t>+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Comparison of VB and MO approaches.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Lectures, Marks - 15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Section B: Organic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 Fundamentals of Organic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Physical Effects, Electronic Displacements: Inductive Effect, Electromeric Effect, Resonance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Hyperconjugation. Cleavage of Bonds: Homolysis and Heterolysis.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Structure, shape and reactivity of organic molecules: Nucleophiles and electrophiles. Reactive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Intermediates: Carbocations, Carbanions and free radicals.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Strength of organic acids and bases: Comparative study with emphasis on factors affecting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values. Aromaticity: Benzenoids and Hückel’s rule.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 Stereochemistry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Conformation with respect to ethane, butane and cyclohexane. Interconversion of Wedge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Formula, Newmann, Sawhorse and Fischer representations. Concept of chirality (upto two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carbon atoms). Configuration: Geometrical and Optical isomerism; Enantiomerism,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Diastereomerism and Meso Compounds. Threo and erythro; D and L; Cis-trans nomenclature;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cIP Rules: R/S (for upto 2 chiral carbon atoms) and E/Z Nomenclature (for upto two C=C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systems)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Lectures, Marks - 10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V: Aliphatic Hydrocarbons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Alkanes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(Up to 5 Carbons):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Catalytic hydrogenation, Wurtz reaction, Kolbe’s synthesis, from Grignard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reagent.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Free radical Substitution: Halogenation.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Alkenes: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(Up to 5 Carbons):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: Elimination reactions: Dehydration of alkenes and dehydrohalogenation of alkyl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halides (Saytzeff’s rule).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cis-addition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alk</w:t>
      </w:r>
      <w:r>
        <w:rPr>
          <w:rFonts w:ascii="TimesNewRomanPSMT" w:hAnsi="TimesNewRomanPSMT" w:cs="TimesNewRomanPSMT"/>
          <w:color w:val="000000"/>
          <w:sz w:val="24"/>
          <w:szCs w:val="24"/>
        </w:rPr>
        <w:t>. KMnO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) and trans-addition (bromine), Addition of HX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(Markownikoff’s and anti Markownikoff’s addition), Hydration, Ozonolysis.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Alkynes: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(Up to 5 Carbons):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Acetylene from CaC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conversion into higher alkynes; by dehalogenation of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tetra halides and dehydrohalogenation of vicinal</w:t>
      </w:r>
      <w:r w:rsidR="005B2ED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dihalides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formation of metal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acetylides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addition of bromine and alkaline KMnO4,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ozonolysis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oxidation with hot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KMnO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Lectures, Marks - 12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J. D. Lee: A new Concise Inorganic Chemistry, E L. B. 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F. A. Cotton &amp; G. Wilkinson: Basic Inorganic Chemistry, John Wiley.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Douglas, McDaniel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Alexader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Concepts and Models in Inorganic Chemistry, John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Wiley.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James 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Huheey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Ellen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Keiter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Richard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Keiter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Inorganic Chemistry: Principles of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Structure and Reactivity, Pearson Publication.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T. W. Graham Solomon: Organic Chemistry, John Wiley and Sons.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Peter Sykes: A Guide Book to Mechanism in Organic Chemistry, Orient Longman.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E. L.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Eliel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Stereochemistry of Carbon Compounds, Tata McGraw Hill.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I. L.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Organic Chemistry (Vol. I &amp; II), E. L. B. 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sz w:val="24"/>
          <w:szCs w:val="24"/>
        </w:rPr>
        <w:t>R. T. Morrison &amp; R. N. Boyd: Organic Chemistry, Prentice Hall.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Bahl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B. 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Bahl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Advanced Organic Chemistry, 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Chand</w:t>
      </w:r>
      <w:proofErr w:type="spellEnd"/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CBCS: B. Sc. with Chemistry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Generic Elective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(1st Semester)</w:t>
      </w:r>
    </w:p>
    <w:p w:rsidR="00690407" w:rsidRDefault="00690407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CHE-GE-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P2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-101</w:t>
      </w:r>
    </w:p>
    <w:p w:rsidR="000C229C" w:rsidRDefault="00690407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02)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Full Marks = 30 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Time- 6hours</w:t>
      </w:r>
    </w:p>
    <w:p w:rsidR="00690407" w:rsidRDefault="00690407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Inorganic Volumetric Analysis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69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9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- 1</w:t>
      </w:r>
      <w:r w:rsidR="00527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Estimation of Fe (II) ions by titrating it with K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Cr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7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using internal indicator.</w:t>
      </w:r>
    </w:p>
    <w:p w:rsidR="000C229C" w:rsidRPr="009A5210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A52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 w:rsidRPr="009A5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A5210">
        <w:rPr>
          <w:rFonts w:ascii="TimesNewRomanPSMT" w:hAnsi="TimesNewRomanPSMT" w:cs="TimesNewRomanPSMT"/>
          <w:b/>
          <w:color w:val="000000"/>
          <w:sz w:val="24"/>
          <w:szCs w:val="24"/>
        </w:rPr>
        <w:t>Estimation of oxalic acid by titrating it with KMnO</w:t>
      </w:r>
      <w:r w:rsidRPr="009A5210">
        <w:rPr>
          <w:rFonts w:ascii="TimesNewRomanPSMT" w:hAnsi="TimesNewRomanPSMT" w:cs="TimesNewRomanPSMT"/>
          <w:b/>
          <w:color w:val="000000"/>
          <w:sz w:val="16"/>
          <w:szCs w:val="16"/>
        </w:rPr>
        <w:t>4</w:t>
      </w:r>
      <w:r w:rsidRPr="009A5210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Estimation of water of crystallization in Mohr’s salt by titrating with KMnO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Estimation of Fe (II) ions by titrating it with KMnO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Estimation of Cu (II) ions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iodometrically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using Na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Organic Chemistry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12 </w:t>
      </w:r>
      <w:r w:rsidR="00690407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 w:rsidR="00690407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 w:rsidR="00690407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- 1</w:t>
      </w:r>
      <w:r w:rsidR="00527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C229C" w:rsidRPr="009A5210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proofErr w:type="spellStart"/>
      <w:r w:rsidRPr="009A52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9A5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A52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Detection of characterized element (N, S, </w:t>
      </w:r>
      <w:proofErr w:type="spellStart"/>
      <w:r w:rsidRPr="009A5210">
        <w:rPr>
          <w:rFonts w:ascii="TimesNewRomanPSMT" w:hAnsi="TimesNewRomanPSMT" w:cs="TimesNewRomanPSMT"/>
          <w:b/>
          <w:color w:val="000000"/>
          <w:sz w:val="24"/>
          <w:szCs w:val="24"/>
        </w:rPr>
        <w:t>Cl</w:t>
      </w:r>
      <w:proofErr w:type="spellEnd"/>
      <w:r w:rsidRPr="009A5210">
        <w:rPr>
          <w:rFonts w:ascii="TimesNewRomanPSMT" w:hAnsi="TimesNewRomanPSMT" w:cs="TimesNewRomanPSMT"/>
          <w:b/>
          <w:color w:val="000000"/>
          <w:sz w:val="24"/>
          <w:szCs w:val="24"/>
        </w:rPr>
        <w:t>, Br, I) in an organic compound.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Separation of mixtures by Chromatography: Measure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value in each case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(combination of two compounds to be given)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Identify and separate the components of a given mixture of 2 amino acids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glycine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aspartic acid,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glutamic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acid, tyrosine or any other amino acid) by paper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chromatography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Identify and separate the sugars present in the given mixture by paper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chromatography.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Viva - voce </w:t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5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- 4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Vogel’s Qualitative Inorganic Analysis, A. I. Vogel, Prentice Hall,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Vogel’s Quantitative Chemical Analysis, A. I. Vogel, Prentice Hall, 6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Textbook of Practical Organic Chemistry, A. I. Vogel, Prentice Hall, 5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Practical Organic Chemistry, F. G. Mann. &amp; B. C. Saunders, Orient Longman, 1960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CBCS: B. Sc. with Chemistry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Generic Elective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(2nd Semester)</w:t>
      </w:r>
    </w:p>
    <w:p w:rsidR="00690407" w:rsidRDefault="00690407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CHE-GE-T4-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201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Chemical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Energetics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Equilibria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Functional Organic Chemistry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04)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Marks = 70 [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Semester Exam (56) Internal Assessment (14)]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A:- 28 Marks and Section B:- 28 Marks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Physical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I: Chemical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Energetics</w:t>
      </w:r>
      <w:proofErr w:type="spellEnd"/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Review of thermodynamics and the Laws of Thermodynamics.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Important principles and definitions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thermochemistry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Concept of standard state and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standard enthalpies of formations, integral and differential enthalpies of solution and dilution.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Calculation of bond energy, bond dissociation energy and resonance energy from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thermochemical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data. Variation of enthalpy of a reaction with temperature– Kirchhoff’s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equation.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Lectures, Marks - 10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 Chemical Equilibrium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Free energy change in a chemical reaction. Thermodynamic derivation of the law of chemical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equilibrium. Distinction between </w:t>
      </w:r>
      <w:r>
        <w:rPr>
          <w:rFonts w:ascii="Cambria" w:hAnsi="Cambria" w:cs="Cambria"/>
          <w:color w:val="000000"/>
          <w:sz w:val="24"/>
          <w:szCs w:val="24"/>
        </w:rPr>
        <w:t>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Chatelier’s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principle. Relationships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between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reactions involving ideal gases.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III: Ionic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Equilibria</w:t>
      </w:r>
      <w:proofErr w:type="spellEnd"/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Strong, moderate and weak electrolytes, degree of ionization, factors affecting degree of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ionization, ionization constant and ionic product of water. Ionization of weak acids and bases,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 scale, common ion effect. Salt hydrolysis-calculation of hydrolysis constant, degree of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hydrolysis and pH for different salts. Buffer solutions. Solubility and solubility product of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sparingly soluble salts – applications of solubility product principle.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Lectures, Marks - 12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B: Organic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 Aromatic Hydrocarbons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Preparation: (Case benzene): from phenol, by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decarboxylation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from acetylene, from benzene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sulphonic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acid.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Reactions: (Case benzene):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Electrophilic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substitution: nitration,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halogenation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sulphonation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Friedel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-Craft’s reaction (alkylation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acylation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(up to 4 carbons on benzene).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Side chain oxidation of alkyl benzenes (up to 4 carbons on benzene).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V: Alkyl and Aryl Halides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Alkyl Halides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(Up to 5 Carbons): Types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Nucleophilic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Substitution (S</w:t>
      </w:r>
      <w:r>
        <w:rPr>
          <w:rFonts w:ascii="TimesNewRomanPSMT" w:hAnsi="TimesNewRomanPSMT" w:cs="TimesNewRomanPSMT"/>
          <w:color w:val="000000"/>
          <w:sz w:val="16"/>
          <w:szCs w:val="16"/>
        </w:rPr>
        <w:t>N</w:t>
      </w:r>
      <w:r>
        <w:rPr>
          <w:rFonts w:ascii="TimesNewRomanPSMT" w:hAnsi="TimesNewRomanPSMT" w:cs="TimesNewRomanPSMT"/>
          <w:color w:val="000000"/>
          <w:sz w:val="24"/>
          <w:szCs w:val="24"/>
        </w:rPr>
        <w:t>1, S</w:t>
      </w:r>
      <w:r>
        <w:rPr>
          <w:rFonts w:ascii="TimesNewRomanPSMT" w:hAnsi="TimesNewRomanPSMT" w:cs="TimesNewRomanPSMT"/>
          <w:color w:val="000000"/>
          <w:sz w:val="16"/>
          <w:szCs w:val="16"/>
        </w:rPr>
        <w:t>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16"/>
          <w:szCs w:val="16"/>
        </w:rPr>
        <w:t>N</w:t>
      </w: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reactions. Preparation: from alkenes and alcohols. Reactions: hydrolysis, nitrite &amp; nitro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formation,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nitrile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isonitrile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formation. Williamson’s ether synthesis: Elimination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vs</w:t>
      </w:r>
      <w:proofErr w:type="spellEnd"/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substitution.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Aryl Halides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Chloro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bromo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iodo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-benzene case): from phenol,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Sandmeyer</w:t>
      </w:r>
      <w:proofErr w:type="spellEnd"/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Gattermann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reactions.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Chlorobenzene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): Aromatic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nucleophilic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substitution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(replacement by –OH group) and effect of nitro substituent.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Benzyne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Mechanism: KNH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/NH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(or NaNH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/NH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Reactivity and Relative strength of C-Halogen bond in alkyl,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allyl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benzyl,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vinyl and aryl halides.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Unit VI: Alcohols, Phenols and Ethers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(Up to 5 Carbons)</w:t>
      </w:r>
    </w:p>
    <w:p w:rsidR="00690407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Alcohols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Preparation: Preparation of 1</w:t>
      </w:r>
      <w:r>
        <w:rPr>
          <w:rFonts w:ascii="Cambria" w:hAnsi="Cambria" w:cs="Cambria"/>
          <w:color w:val="000000"/>
          <w:sz w:val="16"/>
          <w:szCs w:val="16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</w:t>
      </w:r>
      <w:r>
        <w:rPr>
          <w:rFonts w:ascii="Cambria" w:hAnsi="Cambria" w:cs="Cambria"/>
          <w:color w:val="000000"/>
          <w:sz w:val="16"/>
          <w:szCs w:val="16"/>
        </w:rPr>
        <w:t xml:space="preserve">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3</w:t>
      </w:r>
      <w:r>
        <w:rPr>
          <w:rFonts w:ascii="Cambria" w:hAnsi="Cambria" w:cs="Cambria"/>
          <w:color w:val="000000"/>
          <w:sz w:val="16"/>
          <w:szCs w:val="16"/>
        </w:rPr>
        <w:t xml:space="preserve">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alcohols: using Grignard reagent, Ester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hydrolysis, Reduction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aldehydes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ketones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carboxylic acid and esters. Reactions: With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sodium, HX (Lucas test),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esterification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oxidation (with PCC,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KMnO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acidic dichromate,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conc. HNO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Diols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(Up to 6 Carbons) oxidation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diols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Pinacol-Pinacolone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rearrangement.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Phenols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(Phenol case): Preparation: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Cumene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hydroperoxide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method, from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diazonium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salts.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Reactions: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Electrophilic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substitution: Nitration,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halogenation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sulphonation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Reimer-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Tiemann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Reaction,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Schotten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Baumann Reaction.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Ethers (aliphatic and aromatic):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Cleavage of ethers with HI.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Aldehydes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ketones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(aliphatic and aromatic):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Formaldehye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acetaldehyde, acetone and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benzaldehyde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): Preparation: from acid chlorides and from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nitriles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Reactions – Reaction with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HCN, ROH, NaHSO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NH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-G derivatives.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Iodoform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test.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Aldol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Condensation,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Cannizzaro’s</w:t>
      </w:r>
      <w:proofErr w:type="spellEnd"/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Reaction, Wittig Reaction,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Benzoin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Condensation.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Clemensen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Reduction and Wolff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Kishner</w:t>
      </w:r>
      <w:proofErr w:type="spellEnd"/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Reduction.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Meerwein-Pondorff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Verley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Reduction.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Lectures, Marks – 12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I. L.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Organic Chemistry (Vol. I &amp; II), E. L. B. 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R. T. Morrison &amp; R. N. Boyd: Organic Chemistry, Prentice Hall.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Bahl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B. 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Bahl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Advanced Organic Chemistry, 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G. M. Barrow: Physical Chemistry Tata McGraw-Hill (2007).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G. W. Castellan: Physical Chemistry 4th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Narosa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(2004).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R. H.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Petrucci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General Chemistry 5th Ed. Macmillan Publishing Co.: New York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(1985).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Ball, D. W. Physical Chemistry Thomson Press, India (2007).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Castellan, G. W. Physical Chemistry 4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Narosa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(2004).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CBCS: B. Sc. with Chemistry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Generic Elective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(2nd Semester)</w:t>
      </w:r>
    </w:p>
    <w:p w:rsidR="00690407" w:rsidRDefault="00690407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CHE-GE-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P2</w:t>
      </w:r>
      <w:r w:rsidR="00CB7A4C">
        <w:rPr>
          <w:rFonts w:ascii="TimesNewRomanPSMT" w:hAnsi="TimesNewRomanPSMT" w:cs="TimesNewRomanPSMT"/>
          <w:b/>
          <w:color w:val="000000"/>
          <w:sz w:val="24"/>
          <w:szCs w:val="24"/>
        </w:rPr>
        <w:t>-2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01</w:t>
      </w:r>
    </w:p>
    <w:p w:rsidR="000C229C" w:rsidRDefault="00690407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02)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Marks = 30 [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Semester Exam (24) Internal Assessment (6)]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Time- 6hours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Physical Chemistry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69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9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9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arks - 10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Thermochemistry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Ionic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equilibria</w:t>
      </w:r>
      <w:proofErr w:type="spellEnd"/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heat capacity of calorimeter for different volumes.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enthalpy of neutralization of hydrochloric acid with sodium hydroxide.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enthalpy of ionization of acetic acid.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integral enthalpy of solution of salts (KNO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NH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Cl).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enthalpy of hydration of copper sulphate.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Study of the solubility of benzoic acid in water and determination of </w:t>
      </w:r>
      <w:r>
        <w:rPr>
          <w:rFonts w:ascii="Cambria" w:hAnsi="Cambria" w:cs="Cambria"/>
          <w:color w:val="000000"/>
          <w:sz w:val="24"/>
          <w:szCs w:val="24"/>
        </w:rPr>
        <w:t>Δ</w:t>
      </w:r>
      <w:r>
        <w:rPr>
          <w:rFonts w:ascii="TimesNewRomanPSMT" w:hAnsi="TimesNewRomanPSMT" w:cs="TimesNewRomanPSMT"/>
          <w:color w:val="000000"/>
          <w:sz w:val="24"/>
          <w:szCs w:val="24"/>
        </w:rPr>
        <w:t>H.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vii.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Measurement of pH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different solutions like aerated drinks, fruit juices, shampoos and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soaps (use dilute solutions of soaps and shampoos to prevent damage to the glass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electrode) using pH-meter.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ix.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 of buffer solutions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Sodium acetate-acetic acid or,</w:t>
      </w:r>
    </w:p>
    <w:p w:rsidR="000C229C" w:rsidRDefault="000C229C" w:rsidP="00690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Ammonium chloride-ammonium hydroxide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Measurement of the pH of buffer solutions and comparison of the values with</w:t>
      </w:r>
      <w:r w:rsidR="006904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theoretical values.</w:t>
      </w:r>
    </w:p>
    <w:p w:rsidR="00690407" w:rsidRDefault="00690407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Organic Chemistry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either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iii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r w:rsidR="0069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9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- 3+7=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Purification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organic compounds by crystallization (from water and alcohol) and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distillation.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Criteria of Purity</w:t>
      </w:r>
      <w:r>
        <w:rPr>
          <w:rFonts w:ascii="TimesNewRomanPSMT" w:hAnsi="TimesNewRomanPSMT" w:cs="TimesNewRomanPSMT"/>
          <w:color w:val="000000"/>
          <w:sz w:val="24"/>
          <w:szCs w:val="24"/>
        </w:rPr>
        <w:t>: Determination of melting and boiling points.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Mechanism of various reactions involved to be discussed.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Recrystallisation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determination of melting point and calculation of quantitative yields to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done.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Bromination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Phenol/Aniline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Benzoylation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amines/phenols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Oxime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2, 4-dinitrophenylhydrazone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aldehyde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ketone</w:t>
      </w:r>
      <w:proofErr w:type="spellEnd"/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Viva - voce </w:t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- 4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A. I. Vogel: Textbook of Practical Organic Chemistry, 5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 Prentice-Hall.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F. G. Mann &amp; B. C. Saunders, Practical Organic Chemistry, Orient Longman (1960).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Khosla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Senior Practical Physical Chemistry, 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Co.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CBCS: B. Sc. with Chemistry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Generic Elective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(3rd Semester)</w:t>
      </w:r>
    </w:p>
    <w:p w:rsidR="00E249C8" w:rsidRDefault="00E249C8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CHE-GE-T4-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301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Solutions, Phase Equilibrium, Conductance, Electrochemistry and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Functional Group Organic Chemistry-II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04)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Marks = 70 [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Semester Exam (56) Internal Assessment (14)]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A:- 28 Marks and Section B:- 28 Marks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Physical Chemistry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I: Solutions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Thermodynamics of ideal solutions: Ideal solutions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Raoult’s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law, deviations from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Raoult’s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law – non-ideal solutions.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Vapour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pressure-composition and temperature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composition curves of ideal and non-ideal solutions. Distillation of solutions.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Azeotropes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artial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miscibility of liquids: Critical solution temperature; effect of impurity on partial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miscibility of liquids. Immiscibility of liquids- Principle of steam distillation. Nernst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distribution law and its applications, solvent extraction.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 Phase Equilibrium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Phases, components and degrees of freedom of a system, criteria of phase equilibrium. Gibbs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Phase Rule and its thermodynamic deviation. Phase diagrams of one-component systems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(water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sulphur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and two component systems involving eutectics, congruent and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incongruent melting points ( lead –silver, FeCl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-H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O and Na-K only)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 Conductance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Conductivity, equivalent and molar conductivity and their variation with dilution for weak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strong electrolytes.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Kohlrausch’s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law of independent migration of ions.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Transference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number and its experimental determination using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Hittorf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Moving boundary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methods.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Ionic mobility. Applications of conductance measurements: determination of degree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ionization of weak electrolyte, solubility and solubility products of sparingly soluble salts,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ionic product of water, hydrolysis constant of a salt. Conductometric titrations (only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cidbase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Electrochemistry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Reversible and irreversible cells. Concept of EMF of a cell. Measurement of EMF of a cell.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Nernst equation and its importance. Types of electrodes. Standard electrode potential.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Electrochemical series. Thermodynamics of a reversible cell, calculation of thermodynamic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properties: </w:t>
      </w:r>
      <w:r>
        <w:rPr>
          <w:rFonts w:ascii="Cambria" w:hAnsi="Cambria" w:cs="Cambria"/>
          <w:color w:val="000000"/>
          <w:sz w:val="24"/>
          <w:szCs w:val="24"/>
        </w:rPr>
        <w:t>Δ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G, </w:t>
      </w:r>
      <w:r>
        <w:rPr>
          <w:rFonts w:ascii="Cambria" w:hAnsi="Cambria" w:cs="Cambria"/>
          <w:color w:val="000000"/>
          <w:sz w:val="24"/>
          <w:szCs w:val="24"/>
        </w:rPr>
        <w:t>Δ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 and </w:t>
      </w:r>
      <w:r>
        <w:rPr>
          <w:rFonts w:ascii="Cambria" w:hAnsi="Cambria" w:cs="Cambria"/>
          <w:color w:val="000000"/>
          <w:sz w:val="24"/>
          <w:szCs w:val="24"/>
        </w:rPr>
        <w:t>Δ</w:t>
      </w:r>
      <w:r>
        <w:rPr>
          <w:rFonts w:ascii="TimesNewRomanPSMT" w:hAnsi="TimesNewRomanPSMT" w:cs="TimesNewRomanPSMT"/>
          <w:color w:val="000000"/>
          <w:sz w:val="24"/>
          <w:szCs w:val="24"/>
        </w:rPr>
        <w:t>S from EMF data.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Calculation of equilibrium constant from EMF data. Concentration cells with transference and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without transference. Liquid junction potential and salt bridge.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determination using hydrogen electrode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quinhydrone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electrode.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Section B: Organic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V: Carboxylic acids and their derivatives</w:t>
      </w:r>
    </w:p>
    <w:p w:rsidR="00CC36ED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Carboxylic</w:t>
      </w:r>
    </w:p>
    <w:p w:rsidR="00CC36ED" w:rsidRDefault="00CC36ED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acids (aliphatic and aromatic)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Preparation: Acidic and Alkaline hydrolysis of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esters. Reactions: Hell –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Vohlard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Zelinsky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Reaction.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Carboxylic acid derivatives aliphatic): (upto 5 carbons)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Preparation: Acid chlorides,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anhydrides, Esters and Amides from acids and their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interconversion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Reactions: Comparative study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nucleophilicity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acyl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derivatives.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Reformatsky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Reaction,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Perkin Condensation.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VI: Amines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Diazonium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Salts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Amines (Aliphatic and Aromatic)</w:t>
      </w:r>
      <w:r>
        <w:rPr>
          <w:rFonts w:ascii="TimesNewRomanPSMT" w:hAnsi="TimesNewRomanPSMT" w:cs="TimesNewRomanPSMT"/>
          <w:color w:val="000000"/>
          <w:sz w:val="24"/>
          <w:szCs w:val="24"/>
        </w:rPr>
        <w:t>: (Up to 5 carbons): Preparation: from alkyl halides,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Gabriel’s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Phthalimide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synthesis, Hofmann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Bromamide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reaction. Reactions: Hofmann vs.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Saytzeff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elimination,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Carbylamine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test,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Hinsberg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test, with HNO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Schotten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Baumann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Reaction.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Electrophilic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substitution (case aniline): nitration,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bromination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sulphonation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Diazonium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salts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Preparation: from aromatic amines. Reactions: conversion to benzene,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phenol, dyes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VII: Carbohydrates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Carbohydrates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Classification, and General Properties, Glucose and Fructose (open chain and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cyclic structure), Determination of configuration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monosaccharides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absolute configuration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Glucose and Fructose,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Mutarotation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ascending and descending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monosaccharides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VIII: Amino Acids, Peptides and Proteins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Preparation of Amino Acids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Strecker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synthesis using Gabriel’s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phthalimide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synthesis.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Zwitterion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Isoelectric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point and Electrophoresis.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Reactions of Amino acids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ester of –COOH group,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acetylation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–NH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group,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complexation</w:t>
      </w:r>
      <w:proofErr w:type="spellEnd"/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Cu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2+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ions,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ninhydrin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test.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Overview of Primary, Secondary, Tertiary and Quaternary Structure of proteins.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Lectures, Marks - 8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G. M. Barrow: Physical Chemistry Tata McGraw-Hill (2007).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G. W. Castellan: Physical Chemistry 4th Ed.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Narosa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(2004).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J. C.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Kotz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P. 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Treichel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J. R. Townsend, General Chemistry,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Cengage</w:t>
      </w:r>
      <w:proofErr w:type="spellEnd"/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Learning India Pvt. Ltd.: New Delhi (2009).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H. Mahan: University Chemistry, 3rd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Narosa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(1998).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R. H.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Petrucci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General Chemistry, 5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Ed., Macmillan Publishing Co.: New York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(1985).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Morrison, R. T. &amp; Boyd, R. N. Organic Chemistry, Dorling Kindersley (India) Pvt.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Ltd. (Pearson Education).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I. L. Organic Chemistry (Volume 1), Dorling Kindersley (India) Pvt. Ltd.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(Pearson Education).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I. L. Organic Chemistry (Volume 2), Dorling Kindersley (India) Pvt. Ltd.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(Pearson Education).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Nelson, D. L. &amp; Cox, M. 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Lehninger’s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Principles of Biochemistry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Ed., W. H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Freeman.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Berg, J. M.,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Tymoczko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J. L. 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Stryer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L. Biochemistry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Ed., W. H. Freeman.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CBCS: B. Sc. with Chemistry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Generic Elective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(3rd Semester)</w:t>
      </w:r>
    </w:p>
    <w:p w:rsidR="00E249C8" w:rsidRDefault="00E249C8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CHE-GE-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P2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301</w:t>
      </w:r>
    </w:p>
    <w:p w:rsidR="000C229C" w:rsidRDefault="00E249C8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02)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Marks = 30 [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Semester Exam (24) Internal Assessment (6)]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Time- 6hours</w:t>
      </w:r>
    </w:p>
    <w:p w:rsidR="00E249C8" w:rsidRDefault="00E249C8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Physical Chemistry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- 10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Phase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Equilibria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conductance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Construction of the phase diagram of a binary system (simple eutectic) using cooling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curves.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the critical solution temperature and composition of the phenol water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system and study of the effect of impurities on it.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Study of the variation of mutual solubility temperature with concentration for the phenol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water system and determination of the critical solubility temperature.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iv.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cell constant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Perform the following conductometric titrations: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Strong acid vs. strong base or,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Weak acid vs. strong base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Organic Chemistry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- 10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Systematic Qualitative Organic Analysis of Organic Compounds possessing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mono-functional groups (-COOH,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phenolic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aldehydic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ketonic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amide, nitro, amines)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preparation of one derivative.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Viva – voce </w:t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24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- 4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A. I. Vogel: Textbook of Practical Organic Chemistry, Prentice Hall, 5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F. G. Mann &amp; B. C. Saunders: Practical Organic Chemistry, Orient Longman, 1960.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Khosla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Senior Practical Physical Chemistry, 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Co.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Ahluwalia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V. K. 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Aggarwal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R. Comprehensive Practical Organic Chemistry,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Universities Press.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CBCS: B. Sc. with Chemistry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Generic Elective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(4th Semester)</w:t>
      </w:r>
    </w:p>
    <w:p w:rsidR="00E249C8" w:rsidRDefault="00E249C8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CHE-GE-T4-4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01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Transition metals, Coordination Chemistry,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States of Matter and Chemical Kinetics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04)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Marks = 70 [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Semester Exam (56) Internal Assessment (14)]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A:- 28 Marks and Section B:- 28 Marks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Inorganic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Transition Series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Elements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series)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General group trends with special reference to electronic configuration, variable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valency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colour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magnetic and catalytic properties, ability to form complexes and stability of various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oxidation states (Latimer diagrams) for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Fe and Cu.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Lanthanoids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actinoids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Electronic configurations, oxidation states,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colour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magnetic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properties, lanthanide contraction, separation of lanthanides (ion exchange method only).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Lectures, Marks - 10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II: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Coordination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Valence Bond Theory (VBT)</w:t>
      </w:r>
      <w:r>
        <w:rPr>
          <w:rFonts w:ascii="TimesNewRomanPSMT" w:hAnsi="TimesNewRomanPSMT" w:cs="TimesNewRomanPSMT"/>
          <w:color w:val="000000"/>
          <w:sz w:val="24"/>
          <w:szCs w:val="24"/>
        </w:rPr>
        <w:t>: Inner and outer orbital complexes of Cr, Fe, Co, Ni and Cu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(coordination numbers 4 and 6). Structural and stereoisomerism in complexes with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coordination numbers 4 and 6. Drawbacks of VBT.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IUPAC (2005) system of nomenclature.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 Crystal Field Theory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Crystal Field Theory (CFT)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Crystal field effect, octahedral symmetry. Crystal field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stabilization energy (CFSE), Crystal field effects for weak and strong fields. Tetrahedral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symmetry. Factors affecting the magnitude of 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Spectrochemical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series. Comparison of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CFSE for Oh and Td complexes, Tetragonal distortion of octahedral geometry.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Jahn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-Teller distortion, Square planar coordination.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Lectures, Marks - 10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Physical Chemistry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 Kinetic Theory of Gases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Gases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Kinetic Theory of Gases: Postulates of Kinetic Theory of Gases and derivation of the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kinetic gas equation.</w:t>
      </w:r>
    </w:p>
    <w:p w:rsidR="00E249C8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Deviation of real gases from ideal behaviour, compressibility factor, causes of deviation.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Waals equation of state for real gases. Boyle temperature (derivation not required).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Critical phenomena, critical constants and their calculation from van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Waals equation.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Andrews isotherms of CO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. Maxwell Boltzmann distribution laws of molecular velocities and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molecular energies (graphic representation – derivation not required) and their importance.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Temperature dependence of these distributions. Most probable, average and root mean square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velocities (no derivation). Collision number and mean free path of molecules. Viscosity of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gases, effect of temperature/pressure on coefficient of viscosity (qualitative treatment only).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V: Liquids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Liquids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Surface tension and its determination using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stalagmometer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Viscosity of a liquid and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coefficient of viscosity using Ostwald viscometer. Effect of temperature on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surface tension and coefficient of viscosity of a liquid (qualitative treatment only)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VI: Solids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Solids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Forms of solids. Symmetry elements, unit cells, crystal systems,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Bravais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lattice types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identification of lattice planes. Laws of Crystallography - Law of constancy of interfacial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angles, Law of rational indices. Miller indices. Bragg’s law. Structures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NaCl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(qualitative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only). Defects in crystals. Glasses and liquid crystals.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- 6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VII: Chemical Kinetics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concept of reaction rates. Effect of temperature, pressure, catalyst and other factors on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reaction rates. Order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molecularity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a reaction. Derivation of integrated rate equations for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zero, first and second order reactions. Half–life of a reaction. General methods for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determination of order of a reaction. Concept of activation energy and its calculation from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Arrhenius equation.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Theories of Reaction Rates: Collision theory and Activated Complex theory of bimolecular</w:t>
      </w:r>
      <w:r w:rsidR="00E24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reactions. Comparison of the two theories (qualitative treatment only).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Lectures, Marks - 8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G. M. Barrow: Physical Chemistry Tata McGraw-Hill (2007).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G. W. Castellan: Physical Chemistry 4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Narosa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(2004).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B. H. Mahan: University Chemistry 3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rd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Narosa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(1998).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J. D. Lee: A New Concise Inorganic Chemistry, ELBS.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F. A. Cotton &amp; G. Wilkinson: Basic Inorganic Chemistry, John Wiley.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D. F. Shriver and P. W. Atkins: Inorganic Chemistry, OUP.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Wulfsberg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Inorganic Chemistry, Viva Books Pvt. Ltd.</w:t>
      </w: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49C8" w:rsidRDefault="00E249C8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CBCS: B. Sc. with Chemistry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Generic Elective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(4th Semester)</w:t>
      </w:r>
    </w:p>
    <w:p w:rsidR="00E249C8" w:rsidRDefault="00E249C8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Code: 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CHE-GE-</w:t>
      </w:r>
      <w:r w:rsidR="004B40CC">
        <w:rPr>
          <w:rFonts w:ascii="TimesNewRomanPSMT" w:hAnsi="TimesNewRomanPSMT" w:cs="TimesNewRomanPSMT"/>
          <w:b/>
          <w:color w:val="000000"/>
          <w:sz w:val="24"/>
          <w:szCs w:val="24"/>
        </w:rPr>
        <w:t>P2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-</w:t>
      </w:r>
      <w:r w:rsidR="004B40CC">
        <w:rPr>
          <w:rFonts w:ascii="TimesNewRomanPSMT" w:hAnsi="TimesNewRomanPSMT" w:cs="TimesNewRomanPSMT"/>
          <w:b/>
          <w:color w:val="000000"/>
          <w:sz w:val="24"/>
          <w:szCs w:val="24"/>
        </w:rPr>
        <w:t>4</w:t>
      </w:r>
      <w:r w:rsidRPr="000C229C">
        <w:rPr>
          <w:rFonts w:ascii="TimesNewRomanPSMT" w:hAnsi="TimesNewRomanPSMT" w:cs="TimesNewRomanPSMT"/>
          <w:b/>
          <w:color w:val="000000"/>
          <w:sz w:val="24"/>
          <w:szCs w:val="24"/>
        </w:rPr>
        <w:t>01</w:t>
      </w:r>
    </w:p>
    <w:p w:rsidR="000C229C" w:rsidRDefault="00E249C8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(Contact Hours-60; Credits: 02)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Marks = 30 [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Semester Exam (24) Internal Assessment (6)]</w:t>
      </w:r>
    </w:p>
    <w:p w:rsidR="000C229C" w:rsidRDefault="000C229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Time- 6hours</w:t>
      </w:r>
    </w:p>
    <w:p w:rsidR="004B40CC" w:rsidRDefault="004B40CC" w:rsidP="00E24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A: Inorganic Chemistry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4B4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B4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B4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 - 2½×4=10</w:t>
      </w:r>
    </w:p>
    <w:p w:rsidR="004B40CC" w:rsidRDefault="004B40C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Semi-micro qualitative analysis using H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S of mixtures- not more than four ionic species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(two anions and two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cations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excluding insoluble salts) out of the following::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Pb</w:t>
      </w:r>
      <w:r w:rsidRPr="002A535F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Ag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Bi</w:t>
      </w:r>
      <w:r>
        <w:rPr>
          <w:rFonts w:ascii="TimesNewRomanPSMT" w:hAnsi="TimesNewRomanPSMT" w:cs="TimesNewRomanPSMT"/>
          <w:color w:val="000000"/>
          <w:sz w:val="16"/>
          <w:szCs w:val="16"/>
        </w:rPr>
        <w:t>3+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Cu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Cd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Sn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Fe</w:t>
      </w:r>
      <w:r>
        <w:rPr>
          <w:rFonts w:ascii="TimesNewRomanPSMT" w:hAnsi="TimesNewRomanPSMT" w:cs="TimesNewRomanPSMT"/>
          <w:color w:val="000000"/>
          <w:sz w:val="16"/>
          <w:szCs w:val="16"/>
        </w:rPr>
        <w:t>3+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Al</w:t>
      </w:r>
      <w:r>
        <w:rPr>
          <w:rFonts w:ascii="TimesNewRomanPSMT" w:hAnsi="TimesNewRomanPSMT" w:cs="TimesNewRomanPSMT"/>
          <w:color w:val="000000"/>
          <w:sz w:val="16"/>
          <w:szCs w:val="16"/>
        </w:rPr>
        <w:t>3+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Co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Cr</w:t>
      </w:r>
      <w:r>
        <w:rPr>
          <w:rFonts w:ascii="TimesNewRomanPSMT" w:hAnsi="TimesNewRomanPSMT" w:cs="TimesNewRomanPSMT"/>
          <w:color w:val="000000"/>
          <w:sz w:val="16"/>
          <w:szCs w:val="16"/>
        </w:rPr>
        <w:t>3+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Ni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4B40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Mn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Zn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Ba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Sr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Ca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Mg</w:t>
      </w:r>
      <w:r>
        <w:rPr>
          <w:rFonts w:ascii="TimesNewRomanPSMT" w:hAnsi="TimesNewRomanPSMT" w:cs="TimesNewRomanPSMT"/>
          <w:color w:val="000000"/>
          <w:sz w:val="16"/>
          <w:szCs w:val="16"/>
        </w:rPr>
        <w:t>2+</w:t>
      </w:r>
      <w:r>
        <w:rPr>
          <w:rFonts w:ascii="TimesNewRomanPSMT" w:hAnsi="TimesNewRomanPSMT" w:cs="TimesNewRomanPSMT"/>
          <w:color w:val="000000"/>
          <w:sz w:val="24"/>
          <w:szCs w:val="24"/>
        </w:rPr>
        <w:t>, NH</w:t>
      </w:r>
      <w:r>
        <w:rPr>
          <w:rFonts w:ascii="TimesNewRomanPSMT" w:hAnsi="TimesNewRomanPSMT" w:cs="TimesNewRomanPSMT"/>
          <w:color w:val="000000"/>
          <w:sz w:val="16"/>
          <w:szCs w:val="16"/>
        </w:rPr>
        <w:t>4+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Anions: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2-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40C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, NO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SO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2-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Cl</w:t>
      </w:r>
      <w:proofErr w:type="spellEnd"/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Br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BO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3</w:t>
      </w:r>
      <w:r w:rsidR="004B40CC" w:rsidRPr="004B40CC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Pr="004B40CC"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3-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 tests should be done whenever possible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A535F" w:rsidRDefault="002A535F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 B: Physical Chemistry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any 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2A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A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A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A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arks - 10</w:t>
      </w:r>
    </w:p>
    <w:p w:rsidR="002A535F" w:rsidRDefault="002A535F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Surface tension measurement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use of organic solvents excluded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Determination of the surface tension of a liquid or a dilute solution using a</w:t>
      </w:r>
      <w:r w:rsidR="002A5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stalagmometer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A535F" w:rsidRDefault="002A535F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Viscosity measurement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use of organic solvents excluded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Determination of the relative and absolute viscosity of a liquid or dilute solution using</w:t>
      </w:r>
      <w:r w:rsidR="002A5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 Ostwald’s viscometer.</w:t>
      </w:r>
    </w:p>
    <w:p w:rsidR="002A535F" w:rsidRDefault="002A535F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Viva-voce Marks - 4</w:t>
      </w:r>
    </w:p>
    <w:p w:rsidR="002A535F" w:rsidRDefault="002A535F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35F" w:rsidRDefault="002A535F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0C229C" w:rsidRDefault="000C229C" w:rsidP="000C22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A. I. Vogel, Qualitative Inorganic Analysis, Prentice Hall,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Ed.</w:t>
      </w:r>
    </w:p>
    <w:p w:rsidR="000C229C" w:rsidRDefault="000C229C" w:rsidP="002A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Khosla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B. D.;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V. C. 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Gulati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A., Senior Practical Physical Chemistry, R.</w:t>
      </w:r>
      <w:r w:rsidR="002A535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Co.: New Delhi (2011).</w:t>
      </w:r>
    </w:p>
    <w:sectPr w:rsidR="000C229C" w:rsidSect="00AC2C4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5251"/>
    <w:rsid w:val="00007487"/>
    <w:rsid w:val="000C229C"/>
    <w:rsid w:val="000E133F"/>
    <w:rsid w:val="00175DCD"/>
    <w:rsid w:val="002A535F"/>
    <w:rsid w:val="002F0E17"/>
    <w:rsid w:val="003A5251"/>
    <w:rsid w:val="003E6F2C"/>
    <w:rsid w:val="003F7403"/>
    <w:rsid w:val="00424A58"/>
    <w:rsid w:val="004B40CC"/>
    <w:rsid w:val="00521709"/>
    <w:rsid w:val="00527AF4"/>
    <w:rsid w:val="00567A82"/>
    <w:rsid w:val="00591C82"/>
    <w:rsid w:val="005B18A9"/>
    <w:rsid w:val="005B2EDF"/>
    <w:rsid w:val="005F6BBB"/>
    <w:rsid w:val="00610044"/>
    <w:rsid w:val="00690407"/>
    <w:rsid w:val="006E4D5E"/>
    <w:rsid w:val="006F4A87"/>
    <w:rsid w:val="007B38C0"/>
    <w:rsid w:val="0086761C"/>
    <w:rsid w:val="008F0713"/>
    <w:rsid w:val="00905450"/>
    <w:rsid w:val="009A5210"/>
    <w:rsid w:val="009C588A"/>
    <w:rsid w:val="00A14FA2"/>
    <w:rsid w:val="00A22AD1"/>
    <w:rsid w:val="00AC2C40"/>
    <w:rsid w:val="00AC2D94"/>
    <w:rsid w:val="00AE361F"/>
    <w:rsid w:val="00AF59C6"/>
    <w:rsid w:val="00BE2CF1"/>
    <w:rsid w:val="00C45753"/>
    <w:rsid w:val="00C65EF4"/>
    <w:rsid w:val="00CB7A4C"/>
    <w:rsid w:val="00CC36ED"/>
    <w:rsid w:val="00DF1048"/>
    <w:rsid w:val="00E07B1B"/>
    <w:rsid w:val="00E249C8"/>
    <w:rsid w:val="00E439A6"/>
    <w:rsid w:val="00E470A2"/>
    <w:rsid w:val="00E94457"/>
    <w:rsid w:val="00ED1D67"/>
    <w:rsid w:val="00EE19D0"/>
    <w:rsid w:val="00F5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2020-10-27T09:13:00Z</cp:lastPrinted>
  <dcterms:created xsi:type="dcterms:W3CDTF">2019-08-27T08:49:00Z</dcterms:created>
  <dcterms:modified xsi:type="dcterms:W3CDTF">2021-01-17T09:21:00Z</dcterms:modified>
</cp:coreProperties>
</file>